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DBF" w14:textId="77777777" w:rsidR="00F430BD" w:rsidRDefault="00F430BD" w:rsidP="00F430BD">
      <w:pPr>
        <w:pStyle w:val="2"/>
        <w:rPr>
          <w:rFonts w:ascii="微软雅黑" w:eastAsia="微软雅黑" w:hAnsi="微软雅黑" w:cs="微软雅黑" w:hint="eastAsia"/>
          <w:color w:val="000000" w:themeColor="text1"/>
        </w:rPr>
      </w:pPr>
      <w:bookmarkStart w:id="0" w:name="_Toc11931"/>
      <w:bookmarkStart w:id="1" w:name="_Toc24066"/>
      <w:bookmarkStart w:id="2" w:name="_Toc30452"/>
      <w:bookmarkStart w:id="3" w:name="_Toc4406"/>
      <w:bookmarkStart w:id="4" w:name="_Toc20714"/>
      <w:bookmarkStart w:id="5" w:name="_Toc12529"/>
      <w:bookmarkStart w:id="6" w:name="_Toc26530"/>
      <w:bookmarkStart w:id="7" w:name="_Toc23993"/>
      <w:bookmarkStart w:id="8" w:name="_Toc20080"/>
      <w:bookmarkStart w:id="9" w:name="_Toc17602"/>
      <w:bookmarkStart w:id="10" w:name="_Toc32752"/>
      <w:bookmarkStart w:id="11" w:name="OLE_LINK136"/>
      <w:r>
        <w:rPr>
          <w:rFonts w:ascii="微软雅黑" w:eastAsia="微软雅黑" w:hAnsi="微软雅黑" w:cs="微软雅黑" w:hint="eastAsia"/>
          <w:color w:val="000000" w:themeColor="text1"/>
        </w:rPr>
        <w:t>DZB-712F型便携式多参数分析仪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p w14:paraId="0C47F868" w14:textId="77777777" w:rsidR="00F430BD" w:rsidRDefault="00F430BD" w:rsidP="00F430BD">
      <w:pPr>
        <w:jc w:val="center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495E41AB" wp14:editId="400A19F5">
            <wp:extent cx="3048000" cy="3020695"/>
            <wp:effectExtent l="0" t="0" r="0" b="0"/>
            <wp:docPr id="142" name="图片 142" descr="DZB-7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DZB-71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17676" w14:textId="77777777" w:rsidR="00F430BD" w:rsidRDefault="00F430BD" w:rsidP="00F430BD">
      <w:pPr>
        <w:pStyle w:val="LC1"/>
        <w:jc w:val="left"/>
        <w:rPr>
          <w:rFonts w:ascii="微软雅黑" w:hAnsi="微软雅黑" w:cs="微软雅黑" w:hint="eastAsia"/>
          <w:color w:val="000000" w:themeColor="text1"/>
          <w:u w:val="single"/>
        </w:rPr>
      </w:pPr>
      <w:r>
        <w:rPr>
          <w:rFonts w:ascii="微软雅黑" w:hAnsi="微软雅黑" w:cs="微软雅黑" w:hint="eastAsia"/>
        </w:rPr>
        <w:t>主要特点</w:t>
      </w:r>
    </w:p>
    <w:p w14:paraId="78FA6E0C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采用4.3英寸高清彩色液晶触摸屏，显示清晰</w:t>
      </w:r>
    </w:p>
    <w:p w14:paraId="3A5CB2C1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支持中英文</w:t>
      </w:r>
    </w:p>
    <w:p w14:paraId="11425B46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温度单位可选：℃ 和 °F。</w:t>
      </w:r>
    </w:p>
    <w:p w14:paraId="39B45902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支持开机自诊断、自动关机、断电保护和恢复出厂设置等功能</w:t>
      </w:r>
    </w:p>
    <w:p w14:paraId="56C76DA1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支持固件升级功能，允许功能扩展和个性化要求</w:t>
      </w:r>
    </w:p>
    <w:p w14:paraId="3BC59367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支持IP65防护等级</w:t>
      </w:r>
    </w:p>
    <w:p w14:paraId="25B4AF0F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标配三复合pH电极、复合电导电极、极谱法溶解氧电极、电极挂架、硅胶保护套、腕带、便携式手提箱和校准溶液</w:t>
      </w:r>
    </w:p>
    <w:p w14:paraId="1FACA7B8" w14:textId="77777777" w:rsidR="00F430BD" w:rsidRDefault="00F430BD" w:rsidP="00F430BD">
      <w:pPr>
        <w:pStyle w:val="LC1"/>
        <w:spacing w:line="276" w:lineRule="auto"/>
        <w:jc w:val="left"/>
        <w:rPr>
          <w:rFonts w:ascii="微软雅黑" w:hAnsi="微软雅黑" w:cs="微软雅黑" w:hint="eastAsia"/>
          <w:bCs/>
          <w:color w:val="000000"/>
          <w:kern w:val="0"/>
        </w:rPr>
      </w:pPr>
      <w:r>
        <w:rPr>
          <w:rFonts w:ascii="微软雅黑" w:hAnsi="微软雅黑" w:cs="微软雅黑" w:hint="eastAsia"/>
        </w:rPr>
        <w:t>一机多用</w:t>
      </w:r>
    </w:p>
    <w:p w14:paraId="3DAB0C72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内置pH/pX、电导、溶解氧3个测量单元</w:t>
      </w:r>
    </w:p>
    <w:p w14:paraId="660939A5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检测项目：pH/ pX值、离子浓度、mV值、电导率、电阻率、TDS、盐度、溶解氧、溶解氧饱和度、温度</w:t>
      </w:r>
    </w:p>
    <w:p w14:paraId="0AF54CAE" w14:textId="77777777" w:rsidR="00F430BD" w:rsidRDefault="00F430BD" w:rsidP="00F430BD">
      <w:pPr>
        <w:pStyle w:val="LC1"/>
        <w:widowControl/>
        <w:jc w:val="left"/>
        <w:rPr>
          <w:rFonts w:ascii="微软雅黑" w:hAnsi="微软雅黑" w:cs="微软雅黑" w:hint="eastAsia"/>
          <w:bCs/>
          <w:color w:val="000000"/>
          <w:kern w:val="0"/>
        </w:rPr>
      </w:pPr>
      <w:r>
        <w:rPr>
          <w:rFonts w:ascii="微软雅黑" w:hAnsi="微软雅黑" w:cs="微软雅黑" w:hint="eastAsia"/>
        </w:rPr>
        <w:t>智能检测、自动识别</w:t>
      </w:r>
    </w:p>
    <w:p w14:paraId="7F8B6B99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智能判别终点：支持连续读数，平衡读数，定时读数</w:t>
      </w:r>
    </w:p>
    <w:p w14:paraId="22ABDC39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支持自动温度补偿，自动标定，电极诊断</w:t>
      </w:r>
    </w:p>
    <w:p w14:paraId="362C3220" w14:textId="77777777" w:rsidR="00F430BD" w:rsidRDefault="00F430BD" w:rsidP="00F430BD">
      <w:pPr>
        <w:pStyle w:val="LC1"/>
        <w:widowControl/>
        <w:spacing w:line="276" w:lineRule="auto"/>
        <w:jc w:val="left"/>
        <w:rPr>
          <w:rFonts w:ascii="微软雅黑" w:hAnsi="微软雅黑" w:cs="微软雅黑" w:hint="eastAsia"/>
          <w:bCs/>
          <w:color w:val="000000"/>
          <w:kern w:val="0"/>
        </w:rPr>
      </w:pPr>
      <w:r>
        <w:rPr>
          <w:rFonts w:ascii="微软雅黑" w:hAnsi="微软雅黑" w:cs="微软雅黑" w:hint="eastAsia"/>
        </w:rPr>
        <w:t>数据管理，信息追溯</w:t>
      </w:r>
    </w:p>
    <w:p w14:paraId="588BD109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支持数据存储(各1000套)、查阅、删除、传输和打印</w:t>
      </w:r>
    </w:p>
    <w:p w14:paraId="06DF3731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Times New Roman" w:hAnsi="Times New Roman" w:cs="Times New Roman"/>
        </w:rPr>
        <w:t>支持多种查阅方式，查阅结果以曲线方式显示</w:t>
      </w:r>
    </w:p>
    <w:p w14:paraId="3C54FC03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符合GLP，实现数据追溯</w:t>
      </w:r>
    </w:p>
    <w:p w14:paraId="2354D52F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支持连接标准RS-232串口打印机，直接打印测量结果，打印格式可选</w:t>
      </w:r>
    </w:p>
    <w:p w14:paraId="08833A9A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lastRenderedPageBreak/>
        <w:t>具有 USB 接口，通过专用通信软件与PC连接，实现数据传输；支持连接LIMS系统</w:t>
      </w:r>
    </w:p>
    <w:p w14:paraId="2D6BE736" w14:textId="77777777" w:rsidR="00F430BD" w:rsidRDefault="00F430BD" w:rsidP="00F430BD">
      <w:pPr>
        <w:pStyle w:val="LC1"/>
        <w:widowControl/>
        <w:jc w:val="left"/>
        <w:rPr>
          <w:rFonts w:ascii="微软雅黑" w:hAnsi="微软雅黑" w:cs="微软雅黑" w:hint="eastAsia"/>
          <w:color w:val="000000"/>
          <w:kern w:val="0"/>
        </w:rPr>
      </w:pPr>
      <w:r>
        <w:rPr>
          <w:rFonts w:ascii="微软雅黑" w:hAnsi="微软雅黑" w:cs="微软雅黑" w:hint="eastAsia"/>
          <w:color w:val="000000"/>
          <w:kern w:val="0"/>
          <w:sz w:val="14"/>
          <w:szCs w:val="14"/>
        </w:rPr>
        <w:t xml:space="preserve"> </w:t>
      </w:r>
      <w:r>
        <w:rPr>
          <w:rFonts w:ascii="微软雅黑" w:hAnsi="微软雅黑" w:cs="微软雅黑" w:hint="eastAsia"/>
        </w:rPr>
        <w:t>pH/离子测量功能：</w:t>
      </w:r>
    </w:p>
    <w:p w14:paraId="1F91BE1D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自动识别GB、DIN、NIST等3组缓冲溶液，支持自定义标准溶液及标液组，最多5点标定</w:t>
      </w:r>
    </w:p>
    <w:p w14:paraId="35371A8E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内置Na</w:t>
      </w:r>
      <w:r>
        <w:rPr>
          <w:rFonts w:ascii="微软雅黑" w:hAnsi="微软雅黑" w:cs="微软雅黑" w:hint="eastAsia"/>
          <w:sz w:val="22"/>
          <w:szCs w:val="21"/>
          <w:vertAlign w:val="superscript"/>
        </w:rPr>
        <w:t>+</w:t>
      </w:r>
      <w:r>
        <w:rPr>
          <w:rFonts w:ascii="微软雅黑" w:hAnsi="微软雅黑" w:cs="微软雅黑" w:hint="eastAsia"/>
        </w:rPr>
        <w:t>、K</w:t>
      </w:r>
      <w:r>
        <w:rPr>
          <w:rFonts w:ascii="微软雅黑" w:hAnsi="微软雅黑" w:cs="微软雅黑" w:hint="eastAsia"/>
          <w:sz w:val="22"/>
          <w:szCs w:val="21"/>
          <w:vertAlign w:val="superscript"/>
        </w:rPr>
        <w:t>+</w:t>
      </w:r>
      <w:r>
        <w:rPr>
          <w:rFonts w:ascii="微软雅黑" w:hAnsi="微软雅黑" w:cs="微软雅黑" w:hint="eastAsia"/>
        </w:rPr>
        <w:t>、NH</w:t>
      </w:r>
      <w:r>
        <w:rPr>
          <w:rFonts w:ascii="微软雅黑" w:hAnsi="微软雅黑" w:cs="微软雅黑" w:hint="eastAsia"/>
          <w:sz w:val="22"/>
          <w:szCs w:val="21"/>
          <w:vertAlign w:val="subscript"/>
        </w:rPr>
        <w:t>4</w:t>
      </w:r>
      <w:r>
        <w:rPr>
          <w:rFonts w:ascii="微软雅黑" w:hAnsi="微软雅黑" w:cs="微软雅黑" w:hint="eastAsia"/>
          <w:sz w:val="22"/>
          <w:szCs w:val="21"/>
          <w:vertAlign w:val="superscript"/>
        </w:rPr>
        <w:t>+</w:t>
      </w:r>
      <w:r>
        <w:rPr>
          <w:rFonts w:ascii="微软雅黑" w:hAnsi="微软雅黑" w:cs="微软雅黑" w:hint="eastAsia"/>
        </w:rPr>
        <w:t>、Cl</w:t>
      </w:r>
      <w:r>
        <w:rPr>
          <w:rFonts w:ascii="微软雅黑" w:hAnsi="微软雅黑" w:cs="微软雅黑" w:hint="eastAsia"/>
          <w:vertAlign w:val="superscript"/>
        </w:rPr>
        <w:t>-</w:t>
      </w:r>
      <w:r>
        <w:rPr>
          <w:rFonts w:ascii="微软雅黑" w:hAnsi="微软雅黑" w:cs="微软雅黑" w:hint="eastAsia"/>
        </w:rPr>
        <w:t>、F</w:t>
      </w:r>
      <w:r>
        <w:rPr>
          <w:rFonts w:ascii="微软雅黑" w:hAnsi="微软雅黑" w:cs="微软雅黑" w:hint="eastAsia"/>
          <w:vertAlign w:val="superscript"/>
        </w:rPr>
        <w:t>-</w:t>
      </w:r>
      <w:r>
        <w:rPr>
          <w:rFonts w:ascii="微软雅黑" w:hAnsi="微软雅黑" w:cs="微软雅黑" w:hint="eastAsia"/>
        </w:rPr>
        <w:t>等多种离子模式，允许用户自建</w:t>
      </w:r>
    </w:p>
    <w:p w14:paraId="1E028005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μg/L、mg/L、g/L、mol/L、mmol/L、</w:t>
      </w:r>
      <w:r>
        <w:rPr>
          <w:rFonts w:ascii="微软雅黑" w:hAnsi="微软雅黑" w:cs="微软雅黑" w:hint="eastAsia"/>
          <w:color w:val="000000" w:themeColor="text1"/>
          <w:kern w:val="2"/>
          <w:sz w:val="18"/>
          <w:szCs w:val="21"/>
        </w:rPr>
        <w:t>ppm</w:t>
      </w:r>
      <w:r>
        <w:rPr>
          <w:rFonts w:ascii="微软雅黑" w:hAnsi="微软雅黑" w:cs="微软雅黑" w:hint="eastAsia"/>
        </w:rPr>
        <w:t>、</w:t>
      </w:r>
      <w:r>
        <w:rPr>
          <w:rFonts w:ascii="微软雅黑" w:hAnsi="微软雅黑" w:cs="微软雅黑" w:hint="eastAsia"/>
          <w:color w:val="000000" w:themeColor="text1"/>
          <w:kern w:val="2"/>
          <w:sz w:val="18"/>
          <w:szCs w:val="21"/>
        </w:rPr>
        <w:t>ppb</w:t>
      </w:r>
      <w:r>
        <w:rPr>
          <w:rFonts w:ascii="微软雅黑" w:hAnsi="微软雅黑" w:cs="微软雅黑" w:hint="eastAsia"/>
        </w:rPr>
        <w:t>多种离子浓度单位快速切换</w:t>
      </w:r>
    </w:p>
    <w:p w14:paraId="60F60FC3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测量模式：直读浓度法测量、标准添加法测量、样品添加法测量、GRAN法测量</w:t>
      </w:r>
    </w:p>
    <w:p w14:paraId="5AC7A4C6" w14:textId="77777777" w:rsidR="00F430BD" w:rsidRDefault="00F430BD" w:rsidP="00F430BD">
      <w:pPr>
        <w:pStyle w:val="LC1"/>
        <w:widowControl/>
        <w:rPr>
          <w:rFonts w:ascii="微软雅黑" w:hAnsi="微软雅黑" w:cs="微软雅黑" w:hint="eastAsia"/>
          <w:bCs/>
          <w:color w:val="000000"/>
          <w:kern w:val="0"/>
        </w:rPr>
      </w:pPr>
      <w:r>
        <w:rPr>
          <w:rFonts w:ascii="微软雅黑" w:hAnsi="微软雅黑" w:cs="微软雅黑" w:hint="eastAsia"/>
        </w:rPr>
        <w:t>电导率测量功能：</w:t>
      </w:r>
    </w:p>
    <w:p w14:paraId="38092037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在量程范围内，具有自动温度补偿、自动量程切换等功能</w:t>
      </w:r>
    </w:p>
    <w:p w14:paraId="5125A11E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自动识别电导率标准溶液，支持(1~3)点电导电极标定</w:t>
      </w:r>
    </w:p>
    <w:p w14:paraId="2BA2CC26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支持不补偿、线性、纯水补偿等多种电导率补偿方式</w:t>
      </w:r>
    </w:p>
    <w:p w14:paraId="1F7E95E3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参比温度20℃或25℃可选</w:t>
      </w:r>
    </w:p>
    <w:p w14:paraId="5648F543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支持自动频率切换，配套电极可覆盖0.055μS/cm至满量程的测量</w:t>
      </w:r>
    </w:p>
    <w:p w14:paraId="47F5F656" w14:textId="77777777" w:rsidR="00F430BD" w:rsidRDefault="00F430BD" w:rsidP="00F430BD">
      <w:pPr>
        <w:pStyle w:val="LC1"/>
        <w:widowControl/>
        <w:rPr>
          <w:rFonts w:ascii="微软雅黑" w:hAnsi="微软雅黑" w:cs="微软雅黑" w:hint="eastAsia"/>
          <w:bCs/>
          <w:color w:val="000000"/>
          <w:kern w:val="0"/>
        </w:rPr>
      </w:pPr>
      <w:r>
        <w:rPr>
          <w:rFonts w:ascii="微软雅黑" w:hAnsi="微软雅黑" w:cs="微软雅黑" w:hint="eastAsia"/>
        </w:rPr>
        <w:t>溶解氧测量功能：</w:t>
      </w:r>
    </w:p>
    <w:p w14:paraId="41F829C4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支持自动温度补偿、自动大气压补偿(单位可选kPa、mbar、Torr、Atm)</w:t>
      </w:r>
    </w:p>
    <w:p w14:paraId="68672CF3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支持零氧标定和满度标定</w:t>
      </w:r>
    </w:p>
    <w:p w14:paraId="593463EE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支持手动盐度补偿功能</w:t>
      </w:r>
    </w:p>
    <w:p w14:paraId="49EA92C1" w14:textId="77777777" w:rsidR="00F430BD" w:rsidRDefault="00F430BD" w:rsidP="00F430BD">
      <w:pPr>
        <w:pStyle w:val="LC1"/>
        <w:widowControl/>
        <w:spacing w:line="276" w:lineRule="auto"/>
        <w:jc w:val="left"/>
        <w:rPr>
          <w:rFonts w:ascii="微软雅黑" w:hAnsi="微软雅黑" w:cs="微软雅黑" w:hint="eastAsia"/>
          <w:color w:val="000000"/>
          <w:kern w:val="0"/>
        </w:rPr>
      </w:pPr>
      <w:r>
        <w:rPr>
          <w:rFonts w:ascii="微软雅黑" w:hAnsi="微软雅黑" w:cs="微软雅黑" w:hint="eastAsia"/>
        </w:rPr>
        <w:t>电源管理</w:t>
      </w:r>
    </w:p>
    <w:p w14:paraId="470CC22A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大容量锂电池供电，支持连接PC和移动电源充电</w:t>
      </w:r>
    </w:p>
    <w:p w14:paraId="4F81AD1C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具有电池电量提示功能和充电状态提醒功能</w:t>
      </w:r>
    </w:p>
    <w:p w14:paraId="3CDADB92" w14:textId="77777777" w:rsidR="00F430BD" w:rsidRDefault="00F430BD" w:rsidP="00F430BD">
      <w:pPr>
        <w:pStyle w:val="LC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支持背光调节</w:t>
      </w:r>
    </w:p>
    <w:p w14:paraId="3326460F" w14:textId="77777777" w:rsidR="00F430BD" w:rsidRDefault="00F430BD" w:rsidP="00F430BD">
      <w:pPr>
        <w:rPr>
          <w:rFonts w:ascii="微软雅黑" w:eastAsia="微软雅黑" w:hAnsi="微软雅黑" w:cs="微软雅黑" w:hint="eastAsia"/>
        </w:rPr>
      </w:pPr>
    </w:p>
    <w:p w14:paraId="5E5A7501" w14:textId="77777777" w:rsidR="00F430BD" w:rsidRDefault="00F430BD" w:rsidP="00F430BD">
      <w:pPr>
        <w:pStyle w:val="LC1"/>
        <w:jc w:val="left"/>
        <w:rPr>
          <w:rFonts w:ascii="微软雅黑" w:hAnsi="微软雅黑" w:cs="微软雅黑" w:hint="eastAsia"/>
          <w:color w:val="000000" w:themeColor="text1"/>
          <w:u w:val="single"/>
        </w:rPr>
      </w:pPr>
      <w:r>
        <w:rPr>
          <w:rFonts w:ascii="微软雅黑" w:hAnsi="微软雅黑" w:cs="微软雅黑" w:hint="eastAsia"/>
        </w:rPr>
        <w:t>技术参数</w:t>
      </w:r>
    </w:p>
    <w:tbl>
      <w:tblPr>
        <w:tblW w:w="8607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2126"/>
        <w:gridCol w:w="4915"/>
      </w:tblGrid>
      <w:tr w:rsidR="00F430BD" w14:paraId="419E4214" w14:textId="77777777" w:rsidTr="00B70F31">
        <w:trPr>
          <w:trHeight w:val="644"/>
          <w:jc w:val="center"/>
        </w:trPr>
        <w:tc>
          <w:tcPr>
            <w:tcW w:w="36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F47931C" w14:textId="77777777" w:rsidR="00F430BD" w:rsidRDefault="00F430BD" w:rsidP="00B70F31">
            <w:pPr>
              <w:pStyle w:val="LC0"/>
              <w:jc w:val="right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 xml:space="preserve">                          型号</w:t>
            </w:r>
          </w:p>
          <w:p w14:paraId="07E37AA8" w14:textId="77777777" w:rsidR="00F430BD" w:rsidRDefault="00F430BD" w:rsidP="00B70F31">
            <w:pPr>
              <w:pStyle w:val="LC0"/>
              <w:jc w:val="left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技术参数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E53E9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DZB-712F</w:t>
            </w:r>
          </w:p>
        </w:tc>
      </w:tr>
      <w:tr w:rsidR="00F430BD" w14:paraId="6D522329" w14:textId="77777777" w:rsidTr="00B70F31">
        <w:trPr>
          <w:trHeight w:val="54"/>
          <w:jc w:val="center"/>
        </w:trPr>
        <w:tc>
          <w:tcPr>
            <w:tcW w:w="3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9C75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仪器级别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38C8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pH/pX：0.01级</w:t>
            </w:r>
          </w:p>
          <w:p w14:paraId="7B2C4B5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电导：1.0级</w:t>
            </w:r>
          </w:p>
        </w:tc>
      </w:tr>
      <w:tr w:rsidR="00F430BD" w14:paraId="43038A7E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BD9B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mV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B80F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F74E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-2000.0～2000.0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mV</w:t>
            </w:r>
          </w:p>
        </w:tc>
      </w:tr>
      <w:tr w:rsidR="00F430BD" w14:paraId="4DAC1B18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E4EAC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08AF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F430D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>0.1mV</w:t>
            </w:r>
          </w:p>
        </w:tc>
      </w:tr>
      <w:tr w:rsidR="00F430BD" w14:paraId="192D3691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84B9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90B4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067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±0.1%或±0.3mV</w:t>
            </w:r>
          </w:p>
        </w:tc>
      </w:tr>
      <w:tr w:rsidR="00F430BD" w14:paraId="17FB92FB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3190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46F9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A07D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-2.00～20.00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pH</w:t>
            </w:r>
          </w:p>
        </w:tc>
      </w:tr>
      <w:tr w:rsidR="00F430BD" w14:paraId="4694EA44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4272C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A6D6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4B15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>0.01pH</w:t>
            </w:r>
          </w:p>
        </w:tc>
      </w:tr>
      <w:tr w:rsidR="00F430BD" w14:paraId="0C341CE2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C165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2913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A34B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sym w:font="Symbol" w:char="F0B1"/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0.01pH</w:t>
            </w:r>
          </w:p>
        </w:tc>
      </w:tr>
      <w:tr w:rsidR="00F430BD" w14:paraId="03B196BD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44AE8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pX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7E26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6860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-2.00～20.00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pX</w:t>
            </w:r>
          </w:p>
        </w:tc>
      </w:tr>
      <w:tr w:rsidR="00F430BD" w14:paraId="136CBC54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0875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5B5D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D08F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>0.01pX</w:t>
            </w:r>
          </w:p>
        </w:tc>
      </w:tr>
      <w:tr w:rsidR="00F430BD" w14:paraId="2A8E32A6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18D8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18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D19A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sym w:font="Symbol" w:char="F0B1"/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0.01pX</w:t>
            </w:r>
          </w:p>
        </w:tc>
      </w:tr>
      <w:tr w:rsidR="00F430BD" w14:paraId="2964FA03" w14:textId="77777777" w:rsidTr="00B70F31">
        <w:trPr>
          <w:trHeight w:val="323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39E45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离子浓度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AD0B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63C9A" w14:textId="77777777" w:rsidR="00F430BD" w:rsidRDefault="00F430BD" w:rsidP="00B70F31">
            <w:pPr>
              <w:pStyle w:val="LC0"/>
              <w:textAlignment w:val="center"/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( 1.000e-9～9.999e+9)</w:t>
            </w:r>
          </w:p>
          <w:p w14:paraId="3DEF88E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lastRenderedPageBreak/>
              <w:t>Unit：pX、mol/L、mmol/L、g/L、mg/L、μg/L、ppm、ppb</w:t>
            </w:r>
          </w:p>
        </w:tc>
      </w:tr>
      <w:tr w:rsidR="00F430BD" w14:paraId="2BE6292A" w14:textId="77777777" w:rsidTr="00B70F31">
        <w:trPr>
          <w:trHeight w:val="323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D81FF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FA05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563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四位有效数字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科学计数法表示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</w:p>
        </w:tc>
      </w:tr>
      <w:tr w:rsidR="00F430BD" w14:paraId="08B2753A" w14:textId="77777777" w:rsidTr="00B70F31">
        <w:trPr>
          <w:trHeight w:val="323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5F80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971E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43FD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±0.5%</w:t>
            </w:r>
          </w:p>
        </w:tc>
      </w:tr>
      <w:tr w:rsidR="00F430BD" w14:paraId="6E0AEDFC" w14:textId="77777777" w:rsidTr="00B70F31">
        <w:trPr>
          <w:trHeight w:val="323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47DC2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电导率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6ADB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26F7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0.000μS/cm～1000mS/cm</w:t>
            </w:r>
          </w:p>
        </w:tc>
      </w:tr>
      <w:tr w:rsidR="00F430BD" w14:paraId="4C919A48" w14:textId="77777777" w:rsidTr="00B70F31">
        <w:trPr>
          <w:trHeight w:val="323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8E0D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79C7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A1F5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>0.001μS/cm</w:t>
            </w:r>
          </w:p>
        </w:tc>
      </w:tr>
      <w:tr w:rsidR="00F430BD" w14:paraId="47E13063" w14:textId="77777777" w:rsidTr="00B70F31">
        <w:trPr>
          <w:trHeight w:val="323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8AD2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76158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电子单元引用误差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E654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 xml:space="preserve">±1.0％FS </w:t>
            </w:r>
          </w:p>
        </w:tc>
      </w:tr>
      <w:tr w:rsidR="00F430BD" w14:paraId="67AB944C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A11A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电阻率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3ABF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86E48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5.00Ω·cm～20.0MΩ·cm</w:t>
            </w:r>
          </w:p>
        </w:tc>
      </w:tr>
      <w:tr w:rsidR="00F430BD" w14:paraId="7E02B0D6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52723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B496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BA62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 xml:space="preserve">0.01Ω·cm </w:t>
            </w:r>
          </w:p>
        </w:tc>
      </w:tr>
      <w:tr w:rsidR="00F430BD" w14:paraId="768560F0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6ED3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368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电子单元引用误差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7E9E8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 xml:space="preserve">±1.0％FS </w:t>
            </w:r>
          </w:p>
        </w:tc>
      </w:tr>
      <w:tr w:rsidR="00F430BD" w14:paraId="2A9348BD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4DA7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TDS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DC3B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973F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0.00 mg/L～300g/L</w:t>
            </w:r>
          </w:p>
        </w:tc>
      </w:tr>
      <w:tr w:rsidR="00F430BD" w14:paraId="2816A970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A4B5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9D3F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4EEB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Cs w:val="21"/>
              </w:rPr>
              <w:t>0.01mg/L</w:t>
            </w:r>
          </w:p>
        </w:tc>
      </w:tr>
      <w:tr w:rsidR="00F430BD" w14:paraId="60E15ADB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F082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796A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电子单元引用误差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6FF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 xml:space="preserve">±1.0％FS </w:t>
            </w:r>
          </w:p>
        </w:tc>
      </w:tr>
      <w:tr w:rsidR="00F430BD" w14:paraId="095BDBDE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77FDD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盐度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1283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175A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0.00～8.00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%</w:t>
            </w:r>
          </w:p>
        </w:tc>
      </w:tr>
      <w:tr w:rsidR="00F430BD" w14:paraId="71680966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E96B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8D6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54E4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0.01%</w:t>
            </w:r>
          </w:p>
        </w:tc>
      </w:tr>
      <w:tr w:rsidR="00F430BD" w14:paraId="65D70CED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D7C93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EA3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电子单元引用误差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73A5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 xml:space="preserve">±0.2% </w:t>
            </w:r>
          </w:p>
        </w:tc>
      </w:tr>
      <w:tr w:rsidR="00F430BD" w14:paraId="04848D20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17C5B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溶解氧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8498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AAB2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0.00～50.00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mg/L</w:t>
            </w:r>
          </w:p>
        </w:tc>
      </w:tr>
      <w:tr w:rsidR="00F430BD" w14:paraId="1CE36AE5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6C09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6608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090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0.01mg/L</w:t>
            </w:r>
          </w:p>
        </w:tc>
      </w:tr>
      <w:tr w:rsidR="00F430BD" w14:paraId="4D3EE4C1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888C83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355B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BCB9B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±0.10mg/L</w:t>
            </w:r>
          </w:p>
        </w:tc>
      </w:tr>
      <w:tr w:rsidR="00F430BD" w14:paraId="25008E6A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DAAC1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980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仪器示值误差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CAAF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≤20.00mg/L：±0.30 mg/L</w:t>
            </w:r>
          </w:p>
          <w:p w14:paraId="14F8B9E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＞20.00mg/L：±10.0%</w:t>
            </w:r>
          </w:p>
        </w:tc>
      </w:tr>
      <w:tr w:rsidR="00F430BD" w14:paraId="482EAEA3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4348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FE57A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响应时间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494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≤45s(20.0℃时90%响应)</w:t>
            </w:r>
          </w:p>
        </w:tc>
      </w:tr>
      <w:tr w:rsidR="00F430BD" w14:paraId="47B58E63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E837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788A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盐度补偿误差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A57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±2%</w:t>
            </w:r>
          </w:p>
        </w:tc>
      </w:tr>
      <w:tr w:rsidR="00F430BD" w14:paraId="5DFCB04F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2442B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溶解氧饱和度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0E6C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C1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0.0～300.0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%</w:t>
            </w:r>
          </w:p>
        </w:tc>
      </w:tr>
      <w:tr w:rsidR="00F430BD" w14:paraId="24F1C776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04AFC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7258D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8730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0.1%</w:t>
            </w:r>
          </w:p>
        </w:tc>
      </w:tr>
      <w:tr w:rsidR="00F430BD" w14:paraId="3583FC45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DAD4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D064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67143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±2.0%</w:t>
            </w:r>
          </w:p>
        </w:tc>
      </w:tr>
      <w:tr w:rsidR="00F430BD" w14:paraId="48D239DD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1B03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317C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仪器示值误差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53F82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±10.0%</w:t>
            </w:r>
          </w:p>
        </w:tc>
      </w:tr>
      <w:tr w:rsidR="00F430BD" w14:paraId="6A371C6E" w14:textId="77777777" w:rsidTr="00B70F31">
        <w:trPr>
          <w:trHeight w:val="315"/>
          <w:jc w:val="center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02B2B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温度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00C99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范围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020CC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(-5.0</w:t>
            </w:r>
            <w:r>
              <w:rPr>
                <w:rFonts w:ascii="微软雅黑" w:hAnsi="微软雅黑" w:cs="微软雅黑" w:hint="eastAsia"/>
                <w:color w:val="000000"/>
                <w:szCs w:val="21"/>
                <w:lang w:bidi="ar"/>
              </w:rPr>
              <w:t>～</w:t>
            </w: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110.0)</w:t>
            </w:r>
            <w:r>
              <w:rPr>
                <w:rFonts w:ascii="微软雅黑" w:hAnsi="微软雅黑" w:cs="微软雅黑" w:hint="eastAsia"/>
                <w:color w:val="000000"/>
                <w:szCs w:val="21"/>
                <w:lang w:bidi="ar"/>
              </w:rPr>
              <w:t>℃</w:t>
            </w: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 xml:space="preserve"> /(23.0~230.0)℉</w:t>
            </w:r>
          </w:p>
        </w:tc>
      </w:tr>
      <w:tr w:rsidR="00F430BD" w14:paraId="6F2CEA43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A9E7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F559D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最小分辨率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43BF4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/>
                <w:kern w:val="2"/>
                <w:szCs w:val="21"/>
                <w:lang w:bidi="ar"/>
              </w:rPr>
              <w:t>0.1℃/0.1℉</w:t>
            </w:r>
          </w:p>
        </w:tc>
      </w:tr>
      <w:tr w:rsidR="00F430BD" w14:paraId="22A185DE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3F87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FA4E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电子单元示值误差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60A2F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±0.2℃</w:t>
            </w:r>
          </w:p>
        </w:tc>
      </w:tr>
      <w:tr w:rsidR="00F430BD" w14:paraId="48EFD2B8" w14:textId="77777777" w:rsidTr="00B70F31">
        <w:trPr>
          <w:trHeight w:val="315"/>
          <w:jc w:val="center"/>
        </w:trPr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527E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E722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仪器示值误差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D4B55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±0.4℃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0.0℃-60.0℃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；±1.0℃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其他范围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</w:p>
        </w:tc>
      </w:tr>
      <w:tr w:rsidR="00F430BD" w14:paraId="648FA015" w14:textId="77777777" w:rsidTr="00B70F31">
        <w:trPr>
          <w:trHeight w:val="315"/>
          <w:jc w:val="center"/>
        </w:trPr>
        <w:tc>
          <w:tcPr>
            <w:tcW w:w="3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3CAB1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电源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3A6B6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可充锂电池，电源适配器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(输入：AC(100~240)V ，输出：DC5V，2A)</w:t>
            </w:r>
          </w:p>
        </w:tc>
      </w:tr>
      <w:tr w:rsidR="00F430BD" w14:paraId="163E6130" w14:textId="77777777" w:rsidTr="00B70F31">
        <w:trPr>
          <w:trHeight w:val="315"/>
          <w:jc w:val="center"/>
        </w:trPr>
        <w:tc>
          <w:tcPr>
            <w:tcW w:w="3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D2B27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bookmarkStart w:id="12" w:name="OLE_LINK137" w:colFirst="0" w:colLast="1"/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尺寸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mm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，重量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kg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7C18" w14:textId="77777777" w:rsidR="00F430BD" w:rsidRDefault="00F430BD" w:rsidP="00B70F31">
            <w:pPr>
              <w:pStyle w:val="LC0"/>
              <w:autoSpaceDE w:val="0"/>
              <w:autoSpaceDN w:val="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90×258×42，0.5</w:t>
            </w:r>
          </w:p>
        </w:tc>
      </w:tr>
      <w:bookmarkEnd w:id="12"/>
      <w:tr w:rsidR="00F430BD" w14:paraId="0F479CFD" w14:textId="77777777" w:rsidTr="00B70F31">
        <w:trPr>
          <w:trHeight w:val="315"/>
          <w:jc w:val="center"/>
        </w:trPr>
        <w:tc>
          <w:tcPr>
            <w:tcW w:w="3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33850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包装尺寸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mm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，毛重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(</w:t>
            </w: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kg</w:t>
            </w:r>
            <w:r>
              <w:rPr>
                <w:rFonts w:ascii="微软雅黑" w:hAnsi="微软雅黑" w:cs="微软雅黑" w:hint="eastAsia"/>
                <w:kern w:val="2"/>
                <w:szCs w:val="21"/>
              </w:rPr>
              <w:t>)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45903" w14:textId="77777777" w:rsidR="00F430BD" w:rsidRDefault="00F430BD" w:rsidP="00B70F31">
            <w:pPr>
              <w:pStyle w:val="LC0"/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490×410×220，5.5</w:t>
            </w:r>
          </w:p>
        </w:tc>
      </w:tr>
    </w:tbl>
    <w:p w14:paraId="380EFFB3" w14:textId="77777777" w:rsidR="00D91D6C" w:rsidRDefault="00D91D6C">
      <w:pPr>
        <w:rPr>
          <w:rFonts w:hint="eastAsia"/>
        </w:rPr>
      </w:pPr>
    </w:p>
    <w:sectPr w:rsidR="00D91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HTK--GBK1-0">
    <w:altName w:val="Segoe Print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limama DongFangDaKai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B2F0"/>
    <w:multiLevelType w:val="multilevel"/>
    <w:tmpl w:val="330BB2F0"/>
    <w:lvl w:ilvl="0">
      <w:start w:val="1"/>
      <w:numFmt w:val="bullet"/>
      <w:pStyle w:val="LC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FZHTK--GBK1-0" w:hAnsi="FZHTK--GBK1-0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FZHTK--GBK1-0" w:hAnsi="FZHTK--GBK1-0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FZHTK--GBK1-0" w:hAnsi="FZHTK--GBK1-0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FZHTK--GBK1-0" w:hAnsi="FZHTK--GBK1-0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FZHTK--GBK1-0" w:hAnsi="FZHTK--GBK1-0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FZHTK--GBK1-0" w:hAnsi="FZHTK--GBK1-0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FZHTK--GBK1-0" w:hAnsi="FZHTK--GBK1-0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FZHTK--GBK1-0" w:hAnsi="FZHTK--GBK1-0" w:hint="default"/>
      </w:rPr>
    </w:lvl>
  </w:abstractNum>
  <w:num w:numId="1" w16cid:durableId="2938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BD"/>
    <w:rsid w:val="001C7477"/>
    <w:rsid w:val="00826E05"/>
    <w:rsid w:val="00D91D6C"/>
    <w:rsid w:val="00F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8650"/>
  <w15:chartTrackingRefBased/>
  <w15:docId w15:val="{BA4FF642-D27C-4BB3-9B7B-45B60C06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430BD"/>
    <w:pPr>
      <w:widowControl w:val="0"/>
      <w:adjustRightInd w:val="0"/>
      <w:snapToGrid w:val="0"/>
      <w:spacing w:after="0" w:line="240" w:lineRule="auto"/>
      <w:jc w:val="both"/>
    </w:pPr>
    <w:rPr>
      <w:rFonts w:ascii="Arial Unicode MS" w:eastAsia="Arial Unicode MS" w:hAnsi="Arial Unicode MS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0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0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0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0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0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0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0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F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0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0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0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0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0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0BD"/>
    <w:rPr>
      <w:b/>
      <w:bCs/>
      <w:smallCaps/>
      <w:color w:val="0F4761" w:themeColor="accent1" w:themeShade="BF"/>
      <w:spacing w:val="5"/>
    </w:rPr>
  </w:style>
  <w:style w:type="paragraph" w:customStyle="1" w:styleId="LC0">
    <w:name w:val="LC表"/>
    <w:link w:val="LCChar"/>
    <w:autoRedefine/>
    <w:qFormat/>
    <w:rsid w:val="00F430BD"/>
    <w:pPr>
      <w:adjustRightInd w:val="0"/>
      <w:snapToGrid w:val="0"/>
      <w:spacing w:after="0" w:line="240" w:lineRule="auto"/>
      <w:jc w:val="center"/>
    </w:pPr>
    <w:rPr>
      <w:rFonts w:ascii="Arial" w:eastAsia="微软雅黑" w:hAnsi="Arial"/>
      <w:kern w:val="0"/>
      <w:sz w:val="18"/>
      <w:szCs w:val="22"/>
      <w14:ligatures w14:val="none"/>
    </w:rPr>
  </w:style>
  <w:style w:type="paragraph" w:customStyle="1" w:styleId="LC">
    <w:name w:val="LC 文字内容 带符号编码"/>
    <w:next w:val="a"/>
    <w:link w:val="LCChar1"/>
    <w:autoRedefine/>
    <w:qFormat/>
    <w:rsid w:val="00F430BD"/>
    <w:pPr>
      <w:numPr>
        <w:numId w:val="1"/>
      </w:numPr>
      <w:adjustRightInd w:val="0"/>
      <w:snapToGrid w:val="0"/>
      <w:spacing w:after="0" w:line="240" w:lineRule="auto"/>
      <w:ind w:leftChars="200" w:left="840"/>
      <w:jc w:val="both"/>
    </w:pPr>
    <w:rPr>
      <w:rFonts w:ascii="Arial" w:eastAsia="微软雅黑" w:hAnsi="Arial" w:cs="Arial"/>
      <w:kern w:val="0"/>
      <w:sz w:val="21"/>
      <w:szCs w:val="20"/>
      <w14:ligatures w14:val="none"/>
    </w:rPr>
  </w:style>
  <w:style w:type="character" w:customStyle="1" w:styleId="LCChar1">
    <w:name w:val="LC 文字内容 带符号编码 Char1"/>
    <w:link w:val="LC"/>
    <w:autoRedefine/>
    <w:qFormat/>
    <w:rsid w:val="00F430BD"/>
    <w:rPr>
      <w:rFonts w:ascii="Arial" w:eastAsia="微软雅黑" w:hAnsi="Arial" w:cs="Arial"/>
      <w:kern w:val="0"/>
      <w:sz w:val="21"/>
      <w:szCs w:val="20"/>
      <w14:ligatures w14:val="none"/>
    </w:rPr>
  </w:style>
  <w:style w:type="character" w:customStyle="1" w:styleId="LCChar">
    <w:name w:val="LC表 Char"/>
    <w:link w:val="LC0"/>
    <w:autoRedefine/>
    <w:qFormat/>
    <w:rsid w:val="00F430BD"/>
    <w:rPr>
      <w:rFonts w:ascii="Arial" w:eastAsia="微软雅黑" w:hAnsi="Arial"/>
      <w:kern w:val="0"/>
      <w:sz w:val="18"/>
      <w:szCs w:val="22"/>
      <w14:ligatures w14:val="none"/>
    </w:rPr>
  </w:style>
  <w:style w:type="paragraph" w:customStyle="1" w:styleId="LC1">
    <w:name w:val="LC主要特点"/>
    <w:basedOn w:val="a"/>
    <w:link w:val="LCChar0"/>
    <w:autoRedefine/>
    <w:qFormat/>
    <w:rsid w:val="00F430BD"/>
    <w:rPr>
      <w:rFonts w:ascii="Arial" w:eastAsia="微软雅黑" w:hAnsi="Arial"/>
      <w:b/>
    </w:rPr>
  </w:style>
  <w:style w:type="character" w:customStyle="1" w:styleId="LCChar0">
    <w:name w:val="LC主要特点 Char"/>
    <w:link w:val="LC1"/>
    <w:autoRedefine/>
    <w:qFormat/>
    <w:rsid w:val="00F430BD"/>
    <w:rPr>
      <w:rFonts w:ascii="Arial" w:eastAsia="微软雅黑" w:hAnsi="Arial"/>
      <w:b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kvens young</dc:creator>
  <cp:keywords/>
  <dc:description/>
  <cp:lastModifiedBy>kvens young</cp:lastModifiedBy>
  <cp:revision>1</cp:revision>
  <dcterms:created xsi:type="dcterms:W3CDTF">2025-02-24T06:01:00Z</dcterms:created>
  <dcterms:modified xsi:type="dcterms:W3CDTF">2025-02-24T06:01:00Z</dcterms:modified>
</cp:coreProperties>
</file>